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流通领域眼镜</w:t>
      </w:r>
      <w:r>
        <w:rPr>
          <w:rFonts w:ascii="Calibri" w:hAnsi="Calibri" w:eastAsia="方正小标宋简体" w:cs="Times New Roman"/>
          <w:sz w:val="32"/>
          <w:szCs w:val="32"/>
        </w:rPr>
        <w:t>产品质量监督抽查方案</w:t>
      </w:r>
    </w:p>
    <w:p>
      <w:pPr>
        <w:rPr>
          <w:rFonts w:ascii="宋体" w:hAnsi="宋体" w:cs="Times New Roman"/>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皇姑区、和平区、沈河区、</w:t>
      </w:r>
      <w:r>
        <w:rPr>
          <w:rFonts w:hint="eastAsia" w:ascii="宋体" w:hAnsi="宋体" w:cs="Times New Roman"/>
          <w:szCs w:val="21"/>
          <w:lang w:val="en-US" w:eastAsia="zh-CN"/>
        </w:rPr>
        <w:t>沈北新区、</w:t>
      </w:r>
      <w:r>
        <w:rPr>
          <w:rFonts w:hint="eastAsia" w:ascii="宋体" w:hAnsi="宋体" w:cs="Times New Roman"/>
          <w:szCs w:val="21"/>
        </w:rPr>
        <w:t>于洪区、铁西区等眼镜</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抽查对象为沈阳市行政区域内从事眼镜销售的市场主体，包括</w:t>
      </w:r>
      <w:r>
        <w:rPr>
          <w:rFonts w:hint="eastAsia" w:ascii="Calibri" w:hAnsi="Calibri" w:eastAsia="宋体" w:cs="Times New Roman"/>
          <w:color w:val="auto"/>
          <w:szCs w:val="21"/>
        </w:rPr>
        <w:t>市场、店铺、直营店</w:t>
      </w:r>
      <w:r>
        <w:rPr>
          <w:rFonts w:hint="eastAsia" w:ascii="Calibri" w:hAnsi="Calibri" w:eastAsia="宋体" w:cs="Times New Roman"/>
          <w:szCs w:val="21"/>
        </w:rPr>
        <w:t>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color w:val="auto"/>
          <w:szCs w:val="21"/>
        </w:rPr>
      </w:pPr>
      <w:r>
        <w:rPr>
          <w:rFonts w:hint="eastAsia"/>
          <w:szCs w:val="21"/>
        </w:rPr>
        <w:t>（一）</w:t>
      </w:r>
      <w:r>
        <w:rPr>
          <w:szCs w:val="21"/>
        </w:rPr>
        <w:t>产品类型</w:t>
      </w:r>
    </w:p>
    <w:p>
      <w:pPr>
        <w:adjustRightInd w:val="0"/>
        <w:spacing w:line="360" w:lineRule="auto"/>
        <w:ind w:firstLine="420" w:firstLineChars="200"/>
        <w:rPr>
          <w:color w:val="000000"/>
          <w:szCs w:val="21"/>
        </w:rPr>
      </w:pPr>
      <w:r>
        <w:rPr>
          <w:rFonts w:hint="eastAsia"/>
          <w:szCs w:val="21"/>
        </w:rPr>
        <w:t>眼镜类产品按</w:t>
      </w:r>
      <w:r>
        <w:rPr>
          <w:rFonts w:hint="eastAsia" w:ascii="Calibri" w:hAnsi="Calibri" w:eastAsia="宋体"/>
          <w:color w:val="auto"/>
          <w:szCs w:val="21"/>
          <w:shd w:val="clear" w:color="auto" w:fill="auto"/>
        </w:rPr>
        <w:t>功能</w:t>
      </w:r>
      <w:r>
        <w:rPr>
          <w:rFonts w:hint="eastAsia"/>
          <w:szCs w:val="21"/>
        </w:rPr>
        <w:t>分为</w:t>
      </w:r>
      <w:r>
        <w:rPr>
          <w:rFonts w:hint="eastAsia" w:ascii="Calibri" w:hAnsi="Calibri" w:eastAsia="宋体"/>
          <w:color w:val="auto"/>
          <w:szCs w:val="21"/>
          <w:shd w:val="clear" w:color="auto" w:fill="auto"/>
        </w:rPr>
        <w:t>有近视镜、老花镜、散光镜、防风沙镜、太阳镜、防紫外镜、电焊镜、防红外镜等。</w:t>
      </w:r>
      <w:r>
        <w:rPr>
          <w:rFonts w:hint="eastAsia"/>
          <w:szCs w:val="21"/>
        </w:rPr>
        <w:t>按</w:t>
      </w:r>
      <w:r>
        <w:rPr>
          <w:rFonts w:hint="eastAsia" w:ascii="Calibri" w:hAnsi="Calibri" w:eastAsia="宋体"/>
          <w:color w:val="auto"/>
          <w:szCs w:val="21"/>
          <w:shd w:val="clear" w:color="auto" w:fill="auto"/>
        </w:rPr>
        <w:t>材质分</w:t>
      </w:r>
      <w:r>
        <w:rPr>
          <w:rFonts w:hint="eastAsia"/>
          <w:szCs w:val="21"/>
        </w:rPr>
        <w:t>为</w:t>
      </w:r>
      <w:r>
        <w:rPr>
          <w:rFonts w:hint="eastAsia" w:ascii="Calibri" w:hAnsi="Calibri" w:eastAsia="宋体"/>
          <w:color w:val="auto"/>
          <w:szCs w:val="21"/>
          <w:shd w:val="clear" w:color="auto" w:fill="auto"/>
        </w:rPr>
        <w:t>玻璃镜、树脂镜、有机玻璃镜等。</w:t>
      </w:r>
      <w:r>
        <w:rPr>
          <w:rFonts w:hint="eastAsia"/>
          <w:szCs w:val="21"/>
        </w:rPr>
        <w:t>按</w:t>
      </w:r>
      <w:r>
        <w:rPr>
          <w:rFonts w:hint="eastAsia" w:ascii="Calibri" w:hAnsi="Calibri" w:eastAsia="宋体"/>
          <w:color w:val="auto"/>
          <w:szCs w:val="21"/>
          <w:shd w:val="clear" w:color="auto" w:fill="auto"/>
        </w:rPr>
        <w:t>外型分</w:t>
      </w:r>
      <w:r>
        <w:rPr>
          <w:rFonts w:hint="eastAsia"/>
          <w:szCs w:val="21"/>
        </w:rPr>
        <w:t>为</w:t>
      </w:r>
      <w:r>
        <w:rPr>
          <w:rFonts w:hint="eastAsia" w:ascii="Calibri" w:hAnsi="Calibri" w:eastAsia="宋体"/>
          <w:color w:val="auto"/>
          <w:szCs w:val="21"/>
          <w:shd w:val="clear" w:color="auto" w:fill="auto"/>
        </w:rPr>
        <w:t>有全框、半框和隐型等。</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auto"/>
          <w:szCs w:val="21"/>
        </w:rPr>
      </w:pPr>
      <w:r>
        <w:rPr>
          <w:rFonts w:hint="eastAsia"/>
          <w:color w:val="000000"/>
          <w:szCs w:val="21"/>
        </w:rPr>
        <w:t>根据市场上常见的眼镜种类，本次拟抽查产品范围包括配装眼镜*、老视成镜*、太阳镜、眼</w:t>
      </w:r>
      <w:bookmarkStart w:id="0" w:name="_GoBack"/>
      <w:r>
        <w:rPr>
          <w:rFonts w:hint="eastAsia"/>
          <w:color w:val="auto"/>
          <w:szCs w:val="21"/>
        </w:rPr>
        <w:t>镜架、眼镜镜片等眼镜产品。</w:t>
      </w:r>
    </w:p>
    <w:p>
      <w:pPr>
        <w:spacing w:line="360" w:lineRule="auto"/>
        <w:ind w:firstLine="420" w:firstLineChars="200"/>
        <w:rPr>
          <w:rFonts w:ascii="Calibri" w:hAnsi="Calibri" w:eastAsia="宋体" w:cs="Times New Roman"/>
          <w:color w:val="auto"/>
          <w:szCs w:val="21"/>
        </w:rPr>
      </w:pPr>
      <w:r>
        <w:rPr>
          <w:rFonts w:hint="eastAsia" w:ascii="Calibri" w:hAnsi="Calibri" w:eastAsia="宋体" w:cs="Times New Roman"/>
          <w:color w:val="auto"/>
          <w:szCs w:val="21"/>
        </w:rPr>
        <w:t>2.不应抽查的易混淆产品种类</w:t>
      </w:r>
    </w:p>
    <w:p>
      <w:pPr>
        <w:spacing w:line="360" w:lineRule="auto"/>
        <w:ind w:firstLine="420" w:firstLineChars="200"/>
        <w:rPr>
          <w:rFonts w:ascii="Calibri" w:hAnsi="Calibri" w:eastAsia="宋体" w:cs="Times New Roman"/>
          <w:color w:val="auto"/>
          <w:szCs w:val="21"/>
        </w:rPr>
      </w:pPr>
      <w:r>
        <w:rPr>
          <w:rFonts w:hint="eastAsia"/>
          <w:color w:val="auto"/>
          <w:szCs w:val="21"/>
        </w:rPr>
        <w:t>本次抽查不包括多焦点镜片配装眼镜产品。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Times New Roman" w:hAnsi="Times New Roman" w:eastAsia="黑体" w:cs="Times New Roman"/>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szCs w:val="21"/>
          <w:highlight w:val="none"/>
        </w:rPr>
      </w:pPr>
      <w:r>
        <w:rPr>
          <w:rFonts w:hint="eastAsia"/>
          <w:color w:val="auto"/>
          <w:szCs w:val="21"/>
          <w:highlight w:val="none"/>
        </w:rPr>
        <w:t>检验样品应由抽样人员和被抽样单位陪同人员用封样单分别封样。封样时，应保证所有可开启部位贴封完好（防止样品被调换），并由抽样人员和被抽样单位代表</w:t>
      </w:r>
      <w:bookmarkEnd w:id="0"/>
      <w:r>
        <w:rPr>
          <w:rFonts w:hint="eastAsia"/>
          <w:color w:val="000000"/>
          <w:szCs w:val="21"/>
          <w:highlight w:val="none"/>
        </w:rPr>
        <w:t>共同签字确认。</w:t>
      </w:r>
    </w:p>
    <w:p>
      <w:pPr>
        <w:adjustRightInd w:val="0"/>
        <w:spacing w:line="360" w:lineRule="auto"/>
        <w:ind w:firstLine="420" w:firstLineChars="200"/>
        <w:rPr>
          <w:rFonts w:hint="eastAsia"/>
          <w:color w:val="000000"/>
          <w:szCs w:val="21"/>
          <w:highlight w:val="none"/>
        </w:rPr>
      </w:pPr>
      <w:r>
        <w:rPr>
          <w:rFonts w:hint="eastAsia"/>
          <w:color w:val="000000"/>
          <w:szCs w:val="21"/>
          <w:highlight w:val="none"/>
          <w:lang w:val="en-US" w:eastAsia="zh-CN"/>
        </w:rPr>
        <w:t>检验</w:t>
      </w:r>
      <w:r>
        <w:rPr>
          <w:rFonts w:hint="eastAsia"/>
          <w:color w:val="000000"/>
          <w:szCs w:val="21"/>
          <w:highlight w:val="none"/>
        </w:rPr>
        <w:t>样品由抽样人员</w:t>
      </w:r>
      <w:r>
        <w:rPr>
          <w:color w:val="000000"/>
          <w:szCs w:val="21"/>
          <w:highlight w:val="none"/>
        </w:rPr>
        <w:t>携带或寄送至检验机构</w:t>
      </w:r>
      <w:r>
        <w:rPr>
          <w:rFonts w:hint="eastAsia"/>
          <w:color w:val="000000"/>
          <w:szCs w:val="21"/>
          <w:highlight w:val="none"/>
        </w:rPr>
        <w:t>，在</w:t>
      </w:r>
      <w:r>
        <w:rPr>
          <w:color w:val="000000"/>
          <w:szCs w:val="21"/>
          <w:highlight w:val="none"/>
        </w:rPr>
        <w:t>携带或寄送</w:t>
      </w:r>
      <w:r>
        <w:rPr>
          <w:rFonts w:hint="eastAsia"/>
          <w:color w:val="000000"/>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szCs w:val="21"/>
              </w:rPr>
            </w:pPr>
            <w:r>
              <w:rPr>
                <w:rFonts w:hint="eastAsia" w:ascii="宋体" w:hAnsi="宋体"/>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szCs w:val="21"/>
              </w:rPr>
            </w:pPr>
            <w:r>
              <w:rPr>
                <w:rFonts w:hint="eastAsia" w:ascii="宋体" w:hAnsi="宋体"/>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Cs/>
                <w:szCs w:val="21"/>
              </w:rPr>
            </w:pPr>
            <w:r>
              <w:rPr>
                <w:rFonts w:hint="eastAsia" w:ascii="宋体" w:hAnsi="宋体"/>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color w:val="auto"/>
                <w:szCs w:val="21"/>
                <w:highlight w:val="none"/>
              </w:rPr>
              <w:t>202</w:t>
            </w:r>
            <w:r>
              <w:rPr>
                <w:rFonts w:hint="eastAsia" w:ascii="宋体" w:hAnsi="宋体" w:eastAsia="宋体"/>
                <w:color w:val="auto"/>
                <w:szCs w:val="21"/>
                <w:highlight w:val="none"/>
              </w:rPr>
              <w:t>2</w:t>
            </w:r>
            <w:r>
              <w:rPr>
                <w:rFonts w:ascii="宋体" w:hAnsi="宋体" w:eastAsia="宋体"/>
                <w:color w:val="auto"/>
                <w:szCs w:val="21"/>
                <w:highlight w:val="none"/>
              </w:rPr>
              <w:t>年</w:t>
            </w:r>
            <w:r>
              <w:rPr>
                <w:rFonts w:hint="eastAsia" w:ascii="宋体" w:hAnsi="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color w:val="auto"/>
                <w:szCs w:val="21"/>
                <w:highlight w:val="none"/>
                <w:lang w:val="en-US" w:eastAsia="zh-CN"/>
              </w:rPr>
              <w:t>6</w:t>
            </w:r>
            <w:r>
              <w:rPr>
                <w:rFonts w:hint="eastAsia" w:ascii="宋体" w:hAnsi="宋体" w:eastAsia="宋体"/>
                <w:color w:val="auto"/>
                <w:szCs w:val="21"/>
                <w:highlight w:val="none"/>
              </w:rPr>
              <w:t>日</w:t>
            </w:r>
            <w:r>
              <w:rPr>
                <w:rFonts w:ascii="宋体" w:hAnsi="宋体" w:eastAsia="宋体"/>
                <w:color w:val="auto"/>
                <w:szCs w:val="21"/>
                <w:highlight w:val="none"/>
              </w:rPr>
              <w:t>-</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bCs/>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bCs/>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宋体" w:hAnsi="宋体" w:eastAsia="宋体"/>
          <w:szCs w:val="21"/>
        </w:rPr>
      </w:pPr>
    </w:p>
    <w:p>
      <w:pPr>
        <w:adjustRightInd w:val="0"/>
        <w:spacing w:line="360" w:lineRule="auto"/>
        <w:ind w:firstLine="420" w:firstLineChars="200"/>
        <w:jc w:val="center"/>
        <w:rPr>
          <w:rFonts w:ascii="宋体" w:hAnsi="宋体" w:eastAsia="宋体"/>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auto"/>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650E"/>
    <w:rsid w:val="000A05AA"/>
    <w:rsid w:val="000A4A75"/>
    <w:rsid w:val="000A6B7A"/>
    <w:rsid w:val="000C6EB7"/>
    <w:rsid w:val="000F00BF"/>
    <w:rsid w:val="000F6CDF"/>
    <w:rsid w:val="000F715F"/>
    <w:rsid w:val="0010017E"/>
    <w:rsid w:val="00116C87"/>
    <w:rsid w:val="00193036"/>
    <w:rsid w:val="001C03A2"/>
    <w:rsid w:val="001C1406"/>
    <w:rsid w:val="0023317F"/>
    <w:rsid w:val="00247113"/>
    <w:rsid w:val="0026663C"/>
    <w:rsid w:val="00266CEE"/>
    <w:rsid w:val="0027203F"/>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B3968"/>
    <w:rsid w:val="00525029"/>
    <w:rsid w:val="00576D3C"/>
    <w:rsid w:val="005B2AE8"/>
    <w:rsid w:val="005C0226"/>
    <w:rsid w:val="005D1ABD"/>
    <w:rsid w:val="005D3AF2"/>
    <w:rsid w:val="005E4D52"/>
    <w:rsid w:val="005F4427"/>
    <w:rsid w:val="00642ECC"/>
    <w:rsid w:val="00683FA6"/>
    <w:rsid w:val="00684361"/>
    <w:rsid w:val="006B2450"/>
    <w:rsid w:val="006C0C7C"/>
    <w:rsid w:val="006C2551"/>
    <w:rsid w:val="006F0924"/>
    <w:rsid w:val="006F146E"/>
    <w:rsid w:val="0075776F"/>
    <w:rsid w:val="00766111"/>
    <w:rsid w:val="007E4AF5"/>
    <w:rsid w:val="00802355"/>
    <w:rsid w:val="008050DE"/>
    <w:rsid w:val="00814C07"/>
    <w:rsid w:val="00831FB4"/>
    <w:rsid w:val="00840F5B"/>
    <w:rsid w:val="00841150"/>
    <w:rsid w:val="0085784E"/>
    <w:rsid w:val="00880BCA"/>
    <w:rsid w:val="00894C98"/>
    <w:rsid w:val="008B12BF"/>
    <w:rsid w:val="008B25C6"/>
    <w:rsid w:val="008B3533"/>
    <w:rsid w:val="008B3D4C"/>
    <w:rsid w:val="008E1EDD"/>
    <w:rsid w:val="009156A0"/>
    <w:rsid w:val="00960815"/>
    <w:rsid w:val="009868DF"/>
    <w:rsid w:val="009A4AC4"/>
    <w:rsid w:val="009B1754"/>
    <w:rsid w:val="009B3E75"/>
    <w:rsid w:val="009C6BD5"/>
    <w:rsid w:val="009D2623"/>
    <w:rsid w:val="009F083C"/>
    <w:rsid w:val="00A03F8E"/>
    <w:rsid w:val="00A10DE5"/>
    <w:rsid w:val="00A360E3"/>
    <w:rsid w:val="00A4534E"/>
    <w:rsid w:val="00A47C1E"/>
    <w:rsid w:val="00A54109"/>
    <w:rsid w:val="00A64EB4"/>
    <w:rsid w:val="00A93EA2"/>
    <w:rsid w:val="00A95AE2"/>
    <w:rsid w:val="00AA462A"/>
    <w:rsid w:val="00AB4837"/>
    <w:rsid w:val="00B34265"/>
    <w:rsid w:val="00B4184F"/>
    <w:rsid w:val="00B67DB1"/>
    <w:rsid w:val="00B958DE"/>
    <w:rsid w:val="00BA561A"/>
    <w:rsid w:val="00BE57F7"/>
    <w:rsid w:val="00BE692E"/>
    <w:rsid w:val="00C17E77"/>
    <w:rsid w:val="00C30506"/>
    <w:rsid w:val="00C477B9"/>
    <w:rsid w:val="00C872AE"/>
    <w:rsid w:val="00C95F71"/>
    <w:rsid w:val="00CF7D05"/>
    <w:rsid w:val="00D34C28"/>
    <w:rsid w:val="00D408B3"/>
    <w:rsid w:val="00D44BDB"/>
    <w:rsid w:val="00D813C6"/>
    <w:rsid w:val="00DC5120"/>
    <w:rsid w:val="00DE0E70"/>
    <w:rsid w:val="00E0363C"/>
    <w:rsid w:val="00E25E2B"/>
    <w:rsid w:val="00E2662F"/>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C6D6029"/>
    <w:rsid w:val="2B1C3AE8"/>
    <w:rsid w:val="2D5B2673"/>
    <w:rsid w:val="3924065D"/>
    <w:rsid w:val="3BE71939"/>
    <w:rsid w:val="3CF6235D"/>
    <w:rsid w:val="3E915111"/>
    <w:rsid w:val="42DB6DDB"/>
    <w:rsid w:val="454944D6"/>
    <w:rsid w:val="59EB2DB1"/>
    <w:rsid w:val="6214067D"/>
    <w:rsid w:val="623C6AEF"/>
    <w:rsid w:val="62E40E57"/>
    <w:rsid w:val="7A4C54D5"/>
    <w:rsid w:val="7B7B8CD2"/>
    <w:rsid w:val="7CDF514A"/>
    <w:rsid w:val="D3FB2DC1"/>
    <w:rsid w:val="E4FF76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link w:val="22"/>
    <w:unhideWhenUsed/>
    <w:qFormat/>
    <w:uiPriority w:val="99"/>
    <w:pPr>
      <w:jc w:val="left"/>
    </w:pPr>
  </w:style>
  <w:style w:type="paragraph" w:styleId="3">
    <w:name w:val="endnote text"/>
    <w:basedOn w:val="1"/>
    <w:link w:val="21"/>
    <w:unhideWhenUsed/>
    <w:qFormat/>
    <w:uiPriority w:val="99"/>
    <w:pPr>
      <w:snapToGrid w:val="0"/>
      <w:jc w:val="left"/>
    </w:pPr>
  </w:style>
  <w:style w:type="paragraph" w:styleId="4">
    <w:name w:val="Balloon Text"/>
    <w:basedOn w:val="1"/>
    <w:link w:val="19"/>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unhideWhenUsed/>
    <w:qFormat/>
    <w:uiPriority w:val="99"/>
    <w:pPr>
      <w:snapToGrid w:val="0"/>
      <w:jc w:val="left"/>
    </w:pPr>
    <w:rPr>
      <w:sz w:val="18"/>
      <w:szCs w:val="18"/>
    </w:rPr>
  </w:style>
  <w:style w:type="paragraph" w:styleId="8">
    <w:name w:val="annotation subject"/>
    <w:basedOn w:val="2"/>
    <w:next w:val="2"/>
    <w:link w:val="23"/>
    <w:unhideWhenUsed/>
    <w:qFormat/>
    <w:uiPriority w:val="99"/>
    <w:rPr>
      <w:b/>
      <w:bCs/>
    </w:rPr>
  </w:style>
  <w:style w:type="character" w:styleId="11">
    <w:name w:val="endnote reference"/>
    <w:basedOn w:val="10"/>
    <w:unhideWhenUsed/>
    <w:qFormat/>
    <w:uiPriority w:val="99"/>
    <w:rPr>
      <w:vertAlign w:val="superscript"/>
    </w:rPr>
  </w:style>
  <w:style w:type="character" w:styleId="12">
    <w:name w:val="annotation reference"/>
    <w:basedOn w:val="10"/>
    <w:unhideWhenUsed/>
    <w:qFormat/>
    <w:uiPriority w:val="99"/>
    <w:rPr>
      <w:sz w:val="21"/>
      <w:szCs w:val="21"/>
    </w:rPr>
  </w:style>
  <w:style w:type="character" w:styleId="13">
    <w:name w:val="footnote reference"/>
    <w:basedOn w:val="10"/>
    <w:unhideWhenUsed/>
    <w:qFormat/>
    <w:uiPriority w:val="99"/>
    <w:rPr>
      <w:vertAlign w:val="superscript"/>
    </w:rPr>
  </w:style>
  <w:style w:type="paragraph" w:customStyle="1"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16">
    <w:name w:val="Revision"/>
    <w:hidden/>
    <w:semiHidden/>
    <w:qFormat/>
    <w:uiPriority w:val="99"/>
    <w:rPr>
      <w:rFonts w:ascii="Calibri" w:hAnsi="Calibri" w:eastAsia="宋体" w:cs="黑体"/>
      <w:kern w:val="2"/>
      <w:sz w:val="21"/>
      <w:szCs w:val="22"/>
      <w:lang w:val="en-US" w:eastAsia="zh-CN" w:bidi="ar-SA"/>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框文本 字符"/>
    <w:basedOn w:val="10"/>
    <w:link w:val="4"/>
    <w:semiHidden/>
    <w:qFormat/>
    <w:uiPriority w:val="99"/>
    <w:rPr>
      <w:kern w:val="2"/>
      <w:sz w:val="18"/>
      <w:szCs w:val="18"/>
    </w:rPr>
  </w:style>
  <w:style w:type="character" w:customStyle="1" w:styleId="20">
    <w:name w:val="脚注文本 字符"/>
    <w:basedOn w:val="10"/>
    <w:link w:val="7"/>
    <w:semiHidden/>
    <w:qFormat/>
    <w:uiPriority w:val="99"/>
    <w:rPr>
      <w:rFonts w:ascii="Calibri" w:hAnsi="Calibri" w:eastAsia="宋体" w:cs="黑体"/>
      <w:kern w:val="2"/>
      <w:sz w:val="18"/>
      <w:szCs w:val="18"/>
    </w:rPr>
  </w:style>
  <w:style w:type="character" w:customStyle="1" w:styleId="21">
    <w:name w:val="尾注文本 字符"/>
    <w:basedOn w:val="10"/>
    <w:link w:val="3"/>
    <w:semiHidden/>
    <w:qFormat/>
    <w:uiPriority w:val="99"/>
    <w:rPr>
      <w:rFonts w:ascii="Calibri" w:hAnsi="Calibri" w:eastAsia="宋体" w:cs="黑体"/>
      <w:kern w:val="2"/>
      <w:sz w:val="21"/>
      <w:szCs w:val="22"/>
    </w:rPr>
  </w:style>
  <w:style w:type="character" w:customStyle="1" w:styleId="22">
    <w:name w:val="批注文字 字符"/>
    <w:basedOn w:val="10"/>
    <w:link w:val="2"/>
    <w:semiHidden/>
    <w:qFormat/>
    <w:uiPriority w:val="99"/>
    <w:rPr>
      <w:rFonts w:ascii="Calibri" w:hAnsi="Calibri" w:eastAsia="宋体" w:cs="黑体"/>
      <w:kern w:val="2"/>
      <w:sz w:val="21"/>
      <w:szCs w:val="22"/>
    </w:rPr>
  </w:style>
  <w:style w:type="character" w:customStyle="1" w:styleId="23">
    <w:name w:val="批注主题 字符"/>
    <w:basedOn w:val="22"/>
    <w:link w:val="8"/>
    <w:semiHidden/>
    <w:qFormat/>
    <w:uiPriority w:val="99"/>
    <w:rPr>
      <w:rFonts w:ascii="Calibri" w:hAnsi="Calibri" w:eastAsia="宋体" w:cs="黑体"/>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1067</Words>
  <Characters>1105</Characters>
  <Lines>12</Lines>
  <Paragraphs>3</Paragraphs>
  <TotalTime>2</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2022-06-20T14:25:39Z</dcterms:modified>
  <dc:title>2022年沈阳市流通领域眼镜产品质量监督抽查方案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AB9CEF068CBE46838192587A77C67153</vt:lpwstr>
  </property>
</Properties>
</file>